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C9EA0" w14:textId="2ABE21D4" w:rsidR="005550F6" w:rsidRPr="00EB59F2" w:rsidRDefault="005550F6" w:rsidP="00EB59F2">
      <w:pPr>
        <w:ind w:right="284"/>
        <w:jc w:val="both"/>
        <w:rPr>
          <w:rFonts w:ascii="Helvetica" w:hAnsi="Helvetica"/>
          <w:b/>
          <w:color w:val="000000" w:themeColor="text1"/>
          <w:sz w:val="24"/>
          <w:szCs w:val="24"/>
        </w:rPr>
      </w:pPr>
      <w:r w:rsidRPr="00EB59F2">
        <w:rPr>
          <w:rFonts w:ascii="Helvetica" w:hAnsi="Helvetica"/>
          <w:b/>
          <w:color w:val="000000" w:themeColor="text1"/>
          <w:sz w:val="24"/>
          <w:szCs w:val="24"/>
        </w:rPr>
        <w:t>Was lernen wir?</w:t>
      </w:r>
    </w:p>
    <w:p w14:paraId="76BE3EC2"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Dass man gemahlenen Ocker mit Eitempera bindet</w:t>
      </w:r>
    </w:p>
    <w:p w14:paraId="7B7A821F" w14:textId="4D4885F8"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 xml:space="preserve">Wie sich Sujets wie Judith und Holofernes und Maria mit ihrem toten </w:t>
      </w:r>
      <w:proofErr w:type="spellStart"/>
      <w:r w:rsidRPr="00EB59F2">
        <w:rPr>
          <w:rFonts w:ascii="Helvetica" w:hAnsi="Helvetica"/>
          <w:color w:val="000000" w:themeColor="text1"/>
          <w:sz w:val="24"/>
          <w:szCs w:val="24"/>
        </w:rPr>
        <w:t>baby</w:t>
      </w:r>
      <w:proofErr w:type="spellEnd"/>
      <w:r w:rsidRPr="00EB59F2">
        <w:rPr>
          <w:rFonts w:ascii="Helvetica" w:hAnsi="Helvetica"/>
          <w:color w:val="000000" w:themeColor="text1"/>
          <w:sz w:val="24"/>
          <w:szCs w:val="24"/>
        </w:rPr>
        <w:t xml:space="preserve"> </w:t>
      </w:r>
      <w:proofErr w:type="spellStart"/>
      <w:r w:rsidRPr="00EB59F2">
        <w:rPr>
          <w:rFonts w:ascii="Helvetica" w:hAnsi="Helvetica"/>
          <w:color w:val="000000" w:themeColor="text1"/>
          <w:sz w:val="24"/>
          <w:szCs w:val="24"/>
        </w:rPr>
        <w:t>boy</w:t>
      </w:r>
      <w:proofErr w:type="spellEnd"/>
      <w:r w:rsidRPr="00EB59F2">
        <w:rPr>
          <w:rFonts w:ascii="Helvetica" w:hAnsi="Helvetica"/>
          <w:color w:val="000000" w:themeColor="text1"/>
          <w:sz w:val="24"/>
          <w:szCs w:val="24"/>
        </w:rPr>
        <w:t xml:space="preserve"> immer wieder wiederholen</w:t>
      </w:r>
    </w:p>
    <w:p w14:paraId="25DEE3F6" w14:textId="20EEFAB5" w:rsidR="009449A1" w:rsidRPr="00EB59F2" w:rsidRDefault="00EB59F2" w:rsidP="00EB59F2">
      <w:pPr>
        <w:ind w:right="284"/>
        <w:jc w:val="both"/>
        <w:rPr>
          <w:rFonts w:ascii="Helvetica" w:hAnsi="Helvetica"/>
          <w:color w:val="000000" w:themeColor="text1"/>
          <w:sz w:val="24"/>
          <w:szCs w:val="24"/>
        </w:rPr>
      </w:pPr>
      <w:r>
        <w:rPr>
          <w:rFonts w:ascii="Helvetica" w:hAnsi="Helvetica"/>
          <w:color w:val="000000" w:themeColor="text1"/>
          <w:sz w:val="24"/>
          <w:szCs w:val="24"/>
        </w:rPr>
        <w:t>Dass sich über</w:t>
      </w:r>
      <w:r w:rsidR="009449A1" w:rsidRPr="00EB59F2">
        <w:rPr>
          <w:rFonts w:ascii="Helvetica" w:hAnsi="Helvetica"/>
          <w:color w:val="000000" w:themeColor="text1"/>
          <w:sz w:val="24"/>
          <w:szCs w:val="24"/>
        </w:rPr>
        <w:t xml:space="preserve"> Van Goghs letzten Acker </w:t>
      </w:r>
      <w:r w:rsidR="005550F6" w:rsidRPr="00EB59F2">
        <w:rPr>
          <w:rFonts w:ascii="Helvetica" w:hAnsi="Helvetica"/>
          <w:color w:val="000000" w:themeColor="text1"/>
          <w:sz w:val="24"/>
          <w:szCs w:val="24"/>
        </w:rPr>
        <w:t xml:space="preserve">einsam </w:t>
      </w:r>
      <w:r w:rsidR="009449A1" w:rsidRPr="00EB59F2">
        <w:rPr>
          <w:rFonts w:ascii="Helvetica" w:hAnsi="Helvetica"/>
          <w:color w:val="000000" w:themeColor="text1"/>
          <w:sz w:val="24"/>
          <w:szCs w:val="24"/>
        </w:rPr>
        <w:t>ein Pfad windet</w:t>
      </w:r>
    </w:p>
    <w:p w14:paraId="72DC2237"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 xml:space="preserve">Wie Velázques und Goya von Monarchen </w:t>
      </w:r>
      <w:proofErr w:type="spellStart"/>
      <w:r w:rsidRPr="00EB59F2">
        <w:rPr>
          <w:rFonts w:ascii="Helvetica" w:hAnsi="Helvetica"/>
          <w:color w:val="000000" w:themeColor="text1"/>
          <w:sz w:val="24"/>
          <w:szCs w:val="24"/>
        </w:rPr>
        <w:t>herbefohlen</w:t>
      </w:r>
      <w:proofErr w:type="spellEnd"/>
      <w:r w:rsidRPr="00EB59F2">
        <w:rPr>
          <w:rFonts w:ascii="Helvetica" w:hAnsi="Helvetica"/>
          <w:color w:val="000000" w:themeColor="text1"/>
          <w:sz w:val="24"/>
          <w:szCs w:val="24"/>
        </w:rPr>
        <w:t xml:space="preserve"> wurden, über Franz Marcs blaue Pferde und Fohlen</w:t>
      </w:r>
    </w:p>
    <w:p w14:paraId="02198D9F"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Wie Pop-Art, dass wir immer mehr und ans Meer und einen Vermeer wollen, kommentiert</w:t>
      </w:r>
    </w:p>
    <w:p w14:paraId="58D5376E" w14:textId="78EE7796" w:rsidR="00B11ACB" w:rsidRPr="00EB59F2" w:rsidRDefault="00B11ACB" w:rsidP="00EB59F2">
      <w:pPr>
        <w:ind w:right="284"/>
        <w:jc w:val="both"/>
        <w:rPr>
          <w:rFonts w:ascii="Helvetica" w:hAnsi="Helvetica"/>
          <w:color w:val="000000" w:themeColor="text1"/>
          <w:sz w:val="24"/>
          <w:szCs w:val="24"/>
        </w:rPr>
      </w:pPr>
      <w:r>
        <w:rPr>
          <w:rFonts w:ascii="Helvetica" w:hAnsi="Helvetica"/>
          <w:color w:val="000000" w:themeColor="text1"/>
          <w:sz w:val="24"/>
          <w:szCs w:val="24"/>
        </w:rPr>
        <w:t xml:space="preserve">Dass Weiwei denkt, Xi Jinping-Rücksichtnahme sei </w:t>
      </w:r>
      <w:r w:rsidR="00F47469">
        <w:rPr>
          <w:rFonts w:ascii="Helvetica" w:hAnsi="Helvetica"/>
          <w:color w:val="000000" w:themeColor="text1"/>
          <w:sz w:val="24"/>
          <w:szCs w:val="24"/>
        </w:rPr>
        <w:t>so gut, wie Gifte zu schlucken</w:t>
      </w:r>
    </w:p>
    <w:p w14:paraId="1A9629F0"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Dass Klassizismus unreflektiert die Antike reflektiert</w:t>
      </w:r>
    </w:p>
    <w:p w14:paraId="0DD3AAB7" w14:textId="6F6EA7D5" w:rsidR="009449A1"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 xml:space="preserve">Über </w:t>
      </w:r>
      <w:r w:rsidR="00D66178" w:rsidRPr="00EB59F2">
        <w:rPr>
          <w:rFonts w:ascii="Helvetica" w:hAnsi="Helvetica"/>
          <w:color w:val="000000" w:themeColor="text1"/>
          <w:sz w:val="24"/>
          <w:szCs w:val="24"/>
        </w:rPr>
        <w:t>Francis</w:t>
      </w:r>
      <w:r w:rsidRPr="00EB59F2">
        <w:rPr>
          <w:rFonts w:ascii="Helvetica" w:hAnsi="Helvetica"/>
          <w:color w:val="000000" w:themeColor="text1"/>
          <w:sz w:val="24"/>
          <w:szCs w:val="24"/>
        </w:rPr>
        <w:t xml:space="preserve"> Bacon und alte Schinken, über Acryl, Öl, Kohle (an der es uns fehlt), Blei- und Buntstifte</w:t>
      </w:r>
    </w:p>
    <w:p w14:paraId="0329776A" w14:textId="7ED9D45C" w:rsidR="00F47469" w:rsidRPr="00EB59F2" w:rsidRDefault="00F47469" w:rsidP="00EB59F2">
      <w:pPr>
        <w:ind w:right="284"/>
        <w:jc w:val="both"/>
        <w:rPr>
          <w:rFonts w:ascii="Helvetica" w:hAnsi="Helvetica"/>
          <w:color w:val="000000" w:themeColor="text1"/>
          <w:sz w:val="24"/>
          <w:szCs w:val="24"/>
        </w:rPr>
      </w:pPr>
      <w:r>
        <w:rPr>
          <w:rFonts w:ascii="Helvetica" w:hAnsi="Helvetica"/>
          <w:color w:val="000000" w:themeColor="text1"/>
          <w:sz w:val="24"/>
          <w:szCs w:val="24"/>
        </w:rPr>
        <w:t xml:space="preserve">Wie </w:t>
      </w:r>
      <w:r w:rsidR="004612B1">
        <w:rPr>
          <w:rFonts w:ascii="Helvetica" w:hAnsi="Helvetica"/>
          <w:color w:val="000000" w:themeColor="text1"/>
          <w:sz w:val="24"/>
          <w:szCs w:val="24"/>
        </w:rPr>
        <w:t>Graphiker schablonendrucken</w:t>
      </w:r>
      <w:bookmarkStart w:id="0" w:name="_GoBack"/>
      <w:bookmarkEnd w:id="0"/>
    </w:p>
    <w:p w14:paraId="0C48EFBF"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Wie man im Bauhausstil ein Haus baut</w:t>
      </w:r>
      <w:r w:rsidR="004D0B96" w:rsidRPr="00EB59F2">
        <w:rPr>
          <w:rFonts w:ascii="Helvetica" w:hAnsi="Helvetica"/>
          <w:color w:val="000000" w:themeColor="text1"/>
          <w:sz w:val="24"/>
          <w:szCs w:val="24"/>
        </w:rPr>
        <w:t xml:space="preserve"> </w:t>
      </w:r>
    </w:p>
    <w:p w14:paraId="65222DE1"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Wie ein Malewitsch-Quadrat ausschaut</w:t>
      </w:r>
    </w:p>
    <w:p w14:paraId="6B46F31E" w14:textId="77777777" w:rsidR="009449A1" w:rsidRPr="00EB59F2" w:rsidRDefault="009449A1"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Wie Nitsch</w:t>
      </w:r>
      <w:r w:rsidR="00D93047" w:rsidRPr="00EB59F2">
        <w:rPr>
          <w:rFonts w:ascii="Helvetica" w:hAnsi="Helvetica"/>
          <w:color w:val="000000" w:themeColor="text1"/>
          <w:sz w:val="24"/>
          <w:szCs w:val="24"/>
        </w:rPr>
        <w:t xml:space="preserve"> der Kühe</w:t>
      </w:r>
      <w:r w:rsidR="00C4554C" w:rsidRPr="00EB59F2">
        <w:rPr>
          <w:rFonts w:ascii="Helvetica" w:hAnsi="Helvetica"/>
          <w:color w:val="000000" w:themeColor="text1"/>
          <w:sz w:val="24"/>
          <w:szCs w:val="24"/>
        </w:rPr>
        <w:t xml:space="preserve"> Innereien aufkaut</w:t>
      </w:r>
    </w:p>
    <w:p w14:paraId="1BE9B2B2" w14:textId="77777777" w:rsidR="00C4554C" w:rsidRPr="00EB59F2" w:rsidRDefault="00C4554C" w:rsidP="00EB59F2">
      <w:pPr>
        <w:ind w:right="284"/>
        <w:jc w:val="both"/>
        <w:rPr>
          <w:rFonts w:ascii="Helvetica" w:hAnsi="Helvetica"/>
          <w:color w:val="000000" w:themeColor="text1"/>
          <w:sz w:val="24"/>
          <w:szCs w:val="24"/>
        </w:rPr>
      </w:pPr>
      <w:r w:rsidRPr="00EB59F2">
        <w:rPr>
          <w:rFonts w:ascii="Helvetica" w:hAnsi="Helvetica"/>
          <w:color w:val="000000" w:themeColor="text1"/>
          <w:sz w:val="24"/>
          <w:szCs w:val="24"/>
        </w:rPr>
        <w:t>Und über Jan van Eycks Brautpaar, welches sich traut</w:t>
      </w:r>
      <w:r w:rsidR="00D93047" w:rsidRPr="00EB59F2">
        <w:rPr>
          <w:rFonts w:ascii="Helvetica" w:hAnsi="Helvetica"/>
          <w:color w:val="000000" w:themeColor="text1"/>
          <w:sz w:val="24"/>
          <w:szCs w:val="24"/>
        </w:rPr>
        <w:t>.</w:t>
      </w:r>
    </w:p>
    <w:p w14:paraId="2D9124E5" w14:textId="0B14BA37" w:rsidR="00EB59F2" w:rsidRDefault="00EB59F2" w:rsidP="00EB59F2">
      <w:pPr>
        <w:ind w:right="284"/>
        <w:jc w:val="both"/>
        <w:rPr>
          <w:rFonts w:ascii="Helvetica" w:hAnsi="Helvetica"/>
          <w:color w:val="000000" w:themeColor="text1"/>
          <w:sz w:val="24"/>
          <w:szCs w:val="24"/>
        </w:rPr>
      </w:pPr>
      <w:r>
        <w:rPr>
          <w:rFonts w:ascii="Helvetica" w:hAnsi="Helvetica"/>
          <w:color w:val="000000" w:themeColor="text1"/>
          <w:sz w:val="24"/>
          <w:szCs w:val="24"/>
        </w:rPr>
        <w:t>Doch es ist nicht nur Wissen, das wir sammeln. Ja, all‘ diese Künstler inspirieren uns, doch wir wollen vor allem selbst eigene Kunst schaffen, um das, wofür Sprache nicht ausreicht, sagen zu können.</w:t>
      </w:r>
    </w:p>
    <w:p w14:paraId="353875E5" w14:textId="69CD866C" w:rsidR="00EB59F2" w:rsidRDefault="00EB59F2" w:rsidP="00EB59F2">
      <w:pPr>
        <w:ind w:right="284"/>
        <w:jc w:val="both"/>
        <w:rPr>
          <w:rFonts w:ascii="Helvetica" w:hAnsi="Helvetica"/>
          <w:color w:val="000000" w:themeColor="text1"/>
          <w:sz w:val="24"/>
          <w:szCs w:val="24"/>
        </w:rPr>
      </w:pPr>
      <w:r>
        <w:rPr>
          <w:rFonts w:ascii="Helvetica" w:hAnsi="Helvetica"/>
          <w:color w:val="000000" w:themeColor="text1"/>
          <w:sz w:val="24"/>
          <w:szCs w:val="24"/>
        </w:rPr>
        <w:t xml:space="preserve">Denn Kunst verleiht, und vielleicht ist das, das Wichtigste an ihr, jenen, die keine haben, </w:t>
      </w:r>
      <w:r w:rsidRPr="00EB59F2">
        <w:rPr>
          <w:rFonts w:ascii="Helvetica" w:hAnsi="Helvetica"/>
          <w:b/>
          <w:color w:val="000000" w:themeColor="text1"/>
          <w:sz w:val="24"/>
          <w:szCs w:val="24"/>
        </w:rPr>
        <w:t>ein</w:t>
      </w:r>
      <w:r>
        <w:rPr>
          <w:rFonts w:ascii="Helvetica" w:hAnsi="Helvetica"/>
          <w:b/>
          <w:color w:val="000000" w:themeColor="text1"/>
          <w:sz w:val="24"/>
          <w:szCs w:val="24"/>
        </w:rPr>
        <w:t>e</w:t>
      </w:r>
      <w:r w:rsidRPr="00EB59F2">
        <w:rPr>
          <w:rFonts w:ascii="Helvetica" w:hAnsi="Helvetica"/>
          <w:b/>
          <w:color w:val="000000" w:themeColor="text1"/>
          <w:sz w:val="24"/>
          <w:szCs w:val="24"/>
        </w:rPr>
        <w:t xml:space="preserve"> Stimme</w:t>
      </w:r>
      <w:r>
        <w:rPr>
          <w:rFonts w:ascii="Helvetica" w:hAnsi="Helvetica"/>
          <w:color w:val="000000" w:themeColor="text1"/>
          <w:sz w:val="24"/>
          <w:szCs w:val="24"/>
        </w:rPr>
        <w:t>.</w:t>
      </w:r>
    </w:p>
    <w:p w14:paraId="7AB8B92F" w14:textId="589ADD1C" w:rsidR="00B22CD4" w:rsidRPr="00EB59F2" w:rsidRDefault="00EB59F2" w:rsidP="00EB59F2">
      <w:pPr>
        <w:ind w:right="284"/>
        <w:jc w:val="both"/>
        <w:rPr>
          <w:rFonts w:ascii="Helvetica" w:hAnsi="Helvetica"/>
          <w:color w:val="000000" w:themeColor="text1"/>
          <w:sz w:val="24"/>
          <w:szCs w:val="24"/>
        </w:rPr>
      </w:pPr>
      <w:r>
        <w:rPr>
          <w:rFonts w:ascii="Helvetica" w:hAnsi="Helvetica"/>
          <w:color w:val="000000" w:themeColor="text1"/>
          <w:sz w:val="24"/>
          <w:szCs w:val="24"/>
        </w:rPr>
        <w:t xml:space="preserve"> </w:t>
      </w:r>
    </w:p>
    <w:p w14:paraId="0A1AE28B" w14:textId="5762537D" w:rsidR="00EB59F2" w:rsidRPr="00EB59F2" w:rsidRDefault="00EB59F2" w:rsidP="00EB59F2">
      <w:pPr>
        <w:tabs>
          <w:tab w:val="left" w:pos="3271"/>
        </w:tabs>
        <w:rPr>
          <w:rFonts w:ascii="Futura T OT Light" w:hAnsi="Futura T OT Light"/>
        </w:rPr>
      </w:pPr>
    </w:p>
    <w:sectPr w:rsidR="00EB59F2" w:rsidRPr="00EB59F2" w:rsidSect="006144F2">
      <w:pgSz w:w="11906" w:h="16838"/>
      <w:pgMar w:top="1417" w:right="496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Futura T OT Light">
    <w:panose1 w:val="02000000000000000000"/>
    <w:charset w:val="00"/>
    <w:family w:val="modern"/>
    <w:notTrueType/>
    <w:pitch w:val="variable"/>
    <w:sig w:usb0="800000AF" w:usb1="50002048"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A1"/>
    <w:rsid w:val="001968E9"/>
    <w:rsid w:val="004612B1"/>
    <w:rsid w:val="004D0B96"/>
    <w:rsid w:val="005550F6"/>
    <w:rsid w:val="006144F2"/>
    <w:rsid w:val="0072788E"/>
    <w:rsid w:val="007E471B"/>
    <w:rsid w:val="009449A1"/>
    <w:rsid w:val="009D378D"/>
    <w:rsid w:val="00B11ACB"/>
    <w:rsid w:val="00B22CD4"/>
    <w:rsid w:val="00C4554C"/>
    <w:rsid w:val="00D66178"/>
    <w:rsid w:val="00D93047"/>
    <w:rsid w:val="00EB59F2"/>
    <w:rsid w:val="00F4746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F7FF"/>
  <w15:chartTrackingRefBased/>
  <w15:docId w15:val="{802D3149-8A3B-45A6-8C0C-2CB205F6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D378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37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3C741-FEE2-49A5-BB9C-7E4CB624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997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Wernisch</dc:creator>
  <cp:keywords/>
  <dc:description/>
  <cp:lastModifiedBy>Jakob Wernisch</cp:lastModifiedBy>
  <cp:revision>3</cp:revision>
  <cp:lastPrinted>2019-05-15T09:40:00Z</cp:lastPrinted>
  <dcterms:created xsi:type="dcterms:W3CDTF">2019-05-30T17:25:00Z</dcterms:created>
  <dcterms:modified xsi:type="dcterms:W3CDTF">2019-05-30T17:50:00Z</dcterms:modified>
</cp:coreProperties>
</file>